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3"/>
        <w:tabs>
          <w:tab w:leader="none" w:pos="5313" w:val="left"/>
        </w:tabs>
        <w:ind w:right="566"/>
        <w:jc w:val="both"/>
        <w:rPr>
          <w:rFonts w:ascii="XO Thames" w:hAnsi="XO Thame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</w:t>
      </w:r>
      <w:r>
        <w:rPr>
          <w:rFonts w:ascii="XO Thames" w:hAnsi="XO Thames"/>
        </w:rPr>
        <w:t>Приложение 2</w:t>
      </w:r>
    </w:p>
    <w:p w14:paraId="08000000">
      <w:pPr>
        <w:pStyle w:val="Style_3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 к муниципальной программе                    </w:t>
      </w:r>
    </w:p>
    <w:p w14:paraId="09000000">
      <w:pPr>
        <w:pStyle w:val="Style_3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 «Формирование </w:t>
      </w:r>
      <w:r>
        <w:rPr>
          <w:rFonts w:ascii="XO Thames" w:hAnsi="XO Thames"/>
        </w:rPr>
        <w:t>комфортной</w:t>
      </w:r>
      <w:r>
        <w:rPr>
          <w:rFonts w:ascii="XO Thames" w:hAnsi="XO Thames"/>
        </w:rPr>
        <w:t xml:space="preserve">   </w:t>
      </w:r>
    </w:p>
    <w:p w14:paraId="0A000000">
      <w:pPr>
        <w:pStyle w:val="Style_3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 xml:space="preserve">             </w:t>
      </w:r>
      <w:r>
        <w:rPr>
          <w:rFonts w:ascii="XO Thames" w:hAnsi="XO Thames"/>
        </w:rPr>
        <w:tab/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 </w:t>
      </w:r>
      <w:bookmarkStart w:id="1" w:name="_GoBack"/>
      <w:bookmarkEnd w:id="1"/>
      <w:r>
        <w:rPr>
          <w:rFonts w:ascii="XO Thames" w:hAnsi="XO Thames"/>
        </w:rPr>
        <w:t xml:space="preserve"> городской среды</w:t>
      </w:r>
      <w:r>
        <w:rPr>
          <w:rFonts w:ascii="XO Thames" w:hAnsi="XO Thames"/>
        </w:rPr>
        <w:tab/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Кашинского</w:t>
      </w:r>
      <w:r>
        <w:rPr>
          <w:rFonts w:ascii="XO Thames" w:hAnsi="XO Thames"/>
        </w:rPr>
        <w:t xml:space="preserve">                                             </w:t>
      </w:r>
    </w:p>
    <w:p w14:paraId="0B000000">
      <w:pPr>
        <w:pStyle w:val="Style_3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 </w:t>
      </w:r>
      <w:r>
        <w:rPr>
          <w:rFonts w:ascii="XO Thames" w:hAnsi="XO Thames"/>
        </w:rPr>
        <w:t>м</w:t>
      </w:r>
      <w:r>
        <w:rPr>
          <w:rFonts w:ascii="XO Thames" w:hAnsi="XO Thames"/>
        </w:rPr>
        <w:t>у</w:t>
      </w:r>
      <w:r>
        <w:rPr>
          <w:rFonts w:ascii="XO Thames" w:hAnsi="XO Thames"/>
        </w:rPr>
        <w:t>ниципального</w:t>
      </w:r>
      <w:r>
        <w:rPr>
          <w:rFonts w:ascii="XO Thames" w:hAnsi="XO Thames"/>
        </w:rPr>
        <w:t xml:space="preserve"> округа</w:t>
      </w:r>
      <w:r>
        <w:rPr>
          <w:rFonts w:ascii="XO Thames" w:hAnsi="XO Thames"/>
        </w:rPr>
        <w:t xml:space="preserve">                                                                                                   </w:t>
      </w:r>
      <w:r>
        <w:rPr>
          <w:rFonts w:ascii="XO Thames" w:hAnsi="XO Thames"/>
        </w:rPr>
        <w:t xml:space="preserve"> </w:t>
      </w:r>
    </w:p>
    <w:p w14:paraId="0C000000">
      <w:pPr>
        <w:pStyle w:val="Style_3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 Тверской области на 20</w:t>
      </w:r>
      <w:r>
        <w:rPr>
          <w:rFonts w:ascii="XO Thames" w:hAnsi="XO Thames"/>
        </w:rPr>
        <w:t>2</w:t>
      </w:r>
      <w:r>
        <w:rPr>
          <w:rFonts w:ascii="XO Thames" w:hAnsi="XO Thames"/>
        </w:rPr>
        <w:t>5</w:t>
      </w:r>
      <w:r>
        <w:rPr>
          <w:rFonts w:ascii="XO Thames" w:hAnsi="XO Thames"/>
        </w:rPr>
        <w:t>-20</w:t>
      </w:r>
      <w:r>
        <w:rPr>
          <w:rFonts w:ascii="XO Thames" w:hAnsi="XO Thames"/>
        </w:rPr>
        <w:t>30</w:t>
      </w:r>
    </w:p>
    <w:p w14:paraId="0D000000">
      <w:pPr>
        <w:pStyle w:val="Style_3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 годы», утвержденн</w:t>
      </w:r>
      <w:r>
        <w:rPr>
          <w:rFonts w:ascii="XO Thames" w:hAnsi="XO Thames"/>
        </w:rPr>
        <w:t>ой</w:t>
      </w:r>
      <w:r>
        <w:rPr>
          <w:rFonts w:ascii="XO Thames" w:hAnsi="XO Thames"/>
        </w:rPr>
        <w:t xml:space="preserve"> постановлением</w:t>
      </w:r>
    </w:p>
    <w:p w14:paraId="0E000000">
      <w:pPr>
        <w:pStyle w:val="Style_3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 xml:space="preserve">  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Администрации Кашинского </w:t>
      </w:r>
    </w:p>
    <w:p w14:paraId="0F000000">
      <w:pPr>
        <w:pStyle w:val="Style_3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городского</w:t>
      </w:r>
      <w:r>
        <w:rPr>
          <w:rFonts w:ascii="XO Thames" w:hAnsi="XO Thames"/>
        </w:rPr>
        <w:t xml:space="preserve"> округа</w:t>
      </w:r>
    </w:p>
    <w:p w14:paraId="10000000">
      <w:pPr>
        <w:pStyle w:val="Style_3"/>
        <w:tabs>
          <w:tab w:leader="none" w:pos="5280" w:val="left"/>
          <w:tab w:leader="none" w:pos="5695" w:val="left"/>
        </w:tabs>
        <w:spacing w:after="0"/>
        <w:ind w:left="-108" w:right="-1"/>
        <w:jc w:val="right"/>
        <w:rPr>
          <w:rFonts w:ascii="XO Thames" w:hAnsi="XO Thames"/>
          <w:sz w:val="28"/>
        </w:rPr>
      </w:pPr>
      <w:r>
        <w:rPr>
          <w:rFonts w:ascii="XO Thames" w:hAnsi="XO Thames"/>
        </w:rPr>
        <w:t xml:space="preserve">                                                                                                   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 от____________№________</w:t>
      </w:r>
    </w:p>
    <w:p w14:paraId="11000000">
      <w:pPr>
        <w:ind/>
        <w:jc w:val="center"/>
        <w:rPr>
          <w:rFonts w:ascii="XO Thames" w:hAnsi="XO Thames"/>
          <w:sz w:val="28"/>
        </w:rPr>
      </w:pPr>
    </w:p>
    <w:p w14:paraId="12000000">
      <w:pPr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Порядок</w:t>
      </w:r>
      <w:r>
        <w:rPr>
          <w:rFonts w:ascii="XO Thames" w:hAnsi="XO Thames"/>
          <w:sz w:val="28"/>
        </w:rPr>
        <w:t xml:space="preserve"> разработки, обсуждения с заинтересованными лицами и утверждения дизайн - проекта благоустройства дворовой территории, включенной в муниципальную программу «</w:t>
      </w:r>
      <w:r>
        <w:rPr>
          <w:rFonts w:ascii="XO Thames" w:hAnsi="XO Thames"/>
          <w:sz w:val="28"/>
        </w:rPr>
        <w:t xml:space="preserve">Формирование </w:t>
      </w:r>
      <w:r>
        <w:rPr>
          <w:rFonts w:ascii="XO Thames" w:hAnsi="XO Thames"/>
          <w:sz w:val="28"/>
        </w:rPr>
        <w:t>комфортной</w:t>
      </w:r>
      <w:r>
        <w:rPr>
          <w:rFonts w:ascii="XO Thames" w:hAnsi="XO Thames"/>
          <w:sz w:val="28"/>
        </w:rPr>
        <w:t xml:space="preserve"> городской среды Кашинск</w:t>
      </w:r>
      <w:r>
        <w:rPr>
          <w:rFonts w:ascii="XO Thames" w:hAnsi="XO Thames"/>
          <w:sz w:val="28"/>
        </w:rPr>
        <w:t>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Тверской области на 20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>-20</w:t>
      </w:r>
      <w:r>
        <w:rPr>
          <w:rFonts w:ascii="XO Thames" w:hAnsi="XO Thames"/>
          <w:sz w:val="28"/>
        </w:rPr>
        <w:t xml:space="preserve">30 </w:t>
      </w:r>
      <w:r>
        <w:rPr>
          <w:rFonts w:ascii="XO Thames" w:hAnsi="XO Thames"/>
          <w:sz w:val="28"/>
        </w:rPr>
        <w:t>годы</w:t>
      </w:r>
      <w:r>
        <w:rPr>
          <w:rFonts w:ascii="XO Thames" w:hAnsi="XO Thames"/>
          <w:sz w:val="28"/>
        </w:rPr>
        <w:t>»</w:t>
      </w:r>
    </w:p>
    <w:p w14:paraId="13000000">
      <w:pPr>
        <w:numPr>
          <w:ilvl w:val="0"/>
          <w:numId w:val="1"/>
        </w:numPr>
        <w:spacing w:after="0" w:line="240" w:lineRule="auto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Общие положения</w:t>
      </w:r>
    </w:p>
    <w:p w14:paraId="14000000">
      <w:pPr>
        <w:tabs>
          <w:tab w:leader="none" w:pos="8645" w:val="left"/>
        </w:tabs>
        <w:ind w:firstLine="709" w:right="-2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1.1.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Настоящий Порядок регламентирует процедуру разработки, обсуждения с заинтересованными лицами дизайн-проекта благоустройства дворовой территории многоквартирного дома, расположенного на территории </w:t>
      </w:r>
      <w:r>
        <w:rPr>
          <w:rFonts w:ascii="XO Thames" w:hAnsi="XO Thames"/>
          <w:sz w:val="28"/>
        </w:rPr>
        <w:t>Кашинск</w:t>
      </w:r>
      <w:r>
        <w:rPr>
          <w:rFonts w:ascii="XO Thames" w:hAnsi="XO Thames"/>
          <w:sz w:val="28"/>
        </w:rPr>
        <w:t>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городско</w:t>
      </w:r>
      <w:r>
        <w:rPr>
          <w:rFonts w:ascii="XO Thames" w:hAnsi="XO Thames"/>
          <w:sz w:val="28"/>
        </w:rPr>
        <w:t>го</w:t>
      </w:r>
      <w:r>
        <w:rPr>
          <w:rFonts w:ascii="XO Thames" w:hAnsi="XO Thames"/>
          <w:sz w:val="28"/>
        </w:rPr>
        <w:t xml:space="preserve"> округ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 xml:space="preserve">, а также их утверждение в рамках реализации муниципальной программы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Формирование комфортной городской среды Кашинского муниципального округа Тверской области на 2025-2030 годы</w:t>
      </w:r>
      <w:r>
        <w:rPr>
          <w:rFonts w:ascii="XO Thames" w:hAnsi="XO Thames"/>
          <w:sz w:val="28"/>
        </w:rPr>
        <w:t xml:space="preserve">» </w:t>
      </w:r>
      <w:r>
        <w:rPr>
          <w:rFonts w:ascii="XO Thames" w:hAnsi="XO Thames"/>
          <w:sz w:val="28"/>
        </w:rPr>
        <w:t>(далее – Порядок).</w:t>
      </w:r>
    </w:p>
    <w:p w14:paraId="15000000">
      <w:pPr>
        <w:tabs>
          <w:tab w:leader="none" w:pos="8645" w:val="left"/>
        </w:tabs>
        <w:ind w:firstLine="709" w:right="-2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1.2. </w:t>
      </w:r>
      <w:r>
        <w:rPr>
          <w:rFonts w:ascii="XO Thames" w:hAnsi="XO Thames"/>
          <w:sz w:val="28"/>
        </w:rPr>
        <w:t>Под дизайн-проектом понимается графический и текстовый материал, включающий в себя визуализированное изображение дворовой территории, представленный в нескольких ракурсах, с планировочной схемой, фотофиксацией (далее – дизайн проект).</w:t>
      </w:r>
    </w:p>
    <w:p w14:paraId="16000000">
      <w:pPr>
        <w:tabs>
          <w:tab w:leader="none" w:pos="8645" w:val="left"/>
        </w:tabs>
        <w:ind w:firstLine="709" w:right="-2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Содержание дизайн-проекта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14:paraId="17000000">
      <w:pPr>
        <w:ind w:firstLine="709" w:right="-2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1.3. </w:t>
      </w:r>
      <w:r>
        <w:rPr>
          <w:rFonts w:ascii="XO Thames" w:hAnsi="XO Thames"/>
          <w:sz w:val="28"/>
        </w:rPr>
        <w:t>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– заинтересованные лица).</w:t>
      </w:r>
    </w:p>
    <w:p w14:paraId="18000000">
      <w:pPr>
        <w:ind w:firstLine="708" w:right="566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1.4. </w:t>
      </w:r>
      <w:r>
        <w:rPr>
          <w:rFonts w:ascii="XO Thames" w:hAnsi="XO Thames"/>
          <w:sz w:val="28"/>
        </w:rPr>
        <w:t xml:space="preserve">Взаимодействовать с заинтересованными лицами, либо их представителями в части обсуждения дизайн-проектов благоустройства </w:t>
      </w:r>
      <w:r>
        <w:rPr>
          <w:rFonts w:ascii="XO Thames" w:hAnsi="XO Thames"/>
          <w:sz w:val="28"/>
        </w:rPr>
        <w:t xml:space="preserve">дворовых территорий, включённых в муниципальную программу уполномочен отдел по строительству, транспорту, связи и </w:t>
      </w:r>
      <w:bookmarkStart w:id="2" w:name="_Hlk181432471"/>
      <w:r>
        <w:rPr>
          <w:rFonts w:ascii="XO Thames" w:hAnsi="XO Thames"/>
          <w:sz w:val="28"/>
        </w:rPr>
        <w:t>жилищно-коммунальному хозяйству</w:t>
      </w:r>
      <w:bookmarkEnd w:id="2"/>
      <w:r>
        <w:rPr>
          <w:rFonts w:ascii="XO Thames" w:hAnsi="XO Thames"/>
          <w:sz w:val="28"/>
        </w:rPr>
        <w:t>.</w:t>
      </w:r>
    </w:p>
    <w:p w14:paraId="19000000">
      <w:pPr>
        <w:ind w:left="709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Разработка дизайн-проектов</w:t>
      </w:r>
    </w:p>
    <w:p w14:paraId="1A000000">
      <w:pPr>
        <w:tabs>
          <w:tab w:leader="none" w:pos="567" w:val="left"/>
          <w:tab w:leader="none" w:pos="1664" w:val="left"/>
        </w:tabs>
        <w:spacing w:after="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 xml:space="preserve">2.1. </w:t>
      </w:r>
      <w:r>
        <w:rPr>
          <w:rFonts w:ascii="XO Thames" w:hAnsi="XO Thames"/>
          <w:sz w:val="28"/>
        </w:rPr>
        <w:t>Дизайн – проект благоустройства дворовой территории выполняется в графической форме на основе функционального зонирования и определяет окончательное проектное решение благоустройства территории.</w:t>
      </w:r>
    </w:p>
    <w:p w14:paraId="1B000000">
      <w:pPr>
        <w:spacing w:after="0" w:line="240" w:lineRule="auto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 xml:space="preserve">2.2. </w:t>
      </w:r>
      <w:r>
        <w:rPr>
          <w:rFonts w:ascii="XO Thames" w:hAnsi="XO Thames"/>
          <w:sz w:val="28"/>
        </w:rPr>
        <w:t xml:space="preserve">Разработка дизайн-проекта в отношении дворовых территорий многоквартирных домов, осуществляется в соответствии с 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 xml:space="preserve">етодическими рекомендациями </w:t>
      </w:r>
      <w:r>
        <w:rPr>
          <w:rFonts w:ascii="XO Thames" w:hAnsi="XO Thames"/>
          <w:sz w:val="28"/>
        </w:rPr>
        <w:t>по разработке норм и правил по благоустройству территорий муниципальных образований</w:t>
      </w:r>
      <w:r>
        <w:rPr>
          <w:rFonts w:ascii="XO Thames" w:hAnsi="XO Thames"/>
          <w:sz w:val="28"/>
        </w:rPr>
        <w:t xml:space="preserve">, утвержденных Приказом Министерства строительства и жилищно-коммунального хозяйства </w:t>
      </w:r>
      <w:r>
        <w:rPr>
          <w:rFonts w:ascii="XO Thames" w:hAnsi="XO Thames"/>
          <w:sz w:val="28"/>
        </w:rPr>
        <w:t xml:space="preserve">Российской Федерации от </w:t>
      </w:r>
      <w:r>
        <w:rPr>
          <w:rFonts w:ascii="XO Thames" w:hAnsi="XO Thames"/>
          <w:sz w:val="28"/>
        </w:rPr>
        <w:t>29.12.2021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1042</w:t>
      </w:r>
      <w:r>
        <w:rPr>
          <w:rFonts w:ascii="XO Thames" w:hAnsi="XO Thames"/>
          <w:sz w:val="28"/>
        </w:rPr>
        <w:t>/</w:t>
      </w:r>
      <w:r>
        <w:rPr>
          <w:rFonts w:ascii="XO Thames" w:hAnsi="XO Thames"/>
          <w:sz w:val="28"/>
        </w:rPr>
        <w:t>пр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требова</w:t>
      </w:r>
      <w:r>
        <w:rPr>
          <w:rFonts w:ascii="XO Thames" w:hAnsi="XO Thames"/>
          <w:sz w:val="28"/>
        </w:rPr>
        <w:t>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14:paraId="1C000000">
      <w:pPr>
        <w:spacing w:after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2.3</w:t>
      </w:r>
      <w:r>
        <w:rPr>
          <w:rFonts w:ascii="XO Thames" w:hAnsi="XO Thames"/>
          <w:sz w:val="28"/>
        </w:rPr>
        <w:t xml:space="preserve">. </w:t>
      </w:r>
      <w:r>
        <w:rPr>
          <w:rFonts w:ascii="XO Thames" w:hAnsi="XO Thames"/>
          <w:sz w:val="28"/>
        </w:rPr>
        <w:t>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14:paraId="1D000000">
      <w:pPr>
        <w:pStyle w:val="Style_4"/>
        <w:spacing w:after="12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2.4</w:t>
      </w:r>
      <w:r>
        <w:rPr>
          <w:rFonts w:ascii="XO Thames" w:hAnsi="XO Thames"/>
          <w:sz w:val="28"/>
        </w:rPr>
        <w:t xml:space="preserve">. </w:t>
      </w:r>
      <w:r>
        <w:rPr>
          <w:rFonts w:ascii="XO Thames" w:hAnsi="XO Thames"/>
          <w:sz w:val="28"/>
        </w:rPr>
        <w:t>При подготовке дизайн-проекта благоустройства дворовой территории выполняются следующие действия:</w:t>
      </w:r>
    </w:p>
    <w:p w14:paraId="1E000000">
      <w:pPr>
        <w:spacing w:after="12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проведение визуального осмотра дворовой территории;</w:t>
      </w:r>
    </w:p>
    <w:p w14:paraId="1F000000">
      <w:pPr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определение участков территории двора, несущих определенную функциональную нагрузку: существующие парковки, детская площадка, зона отдыха, контейнерная площадка и т.д.;</w:t>
      </w:r>
    </w:p>
    <w:p w14:paraId="20000000">
      <w:pPr>
        <w:spacing w:after="12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обсуждение возможного зонирования территории двора пользователями дворовой территории (собственниками помещений многоквартирного дома, жителями многоквартирного дома различных возрастных групп, включая жителей с ограниченными физическими возможностями, автовладельцев, собаководов, детей, подростков, пенсионеров);</w:t>
      </w:r>
    </w:p>
    <w:p w14:paraId="21000000">
      <w:pPr>
        <w:spacing w:after="12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- разделение дворовой территории на участки (функциональные зоны) с учетом: пожеланий пользователей дворовой территории, удобства использования участков, взаимосвязи участков (функциональных зон) пешеходными коммуникациями (тротуарами, дорожками, тропинками, пандусами, лестницами), с учетом развития объекта благоустройства (двора); </w:t>
      </w:r>
    </w:p>
    <w:p w14:paraId="22000000">
      <w:pPr>
        <w:spacing w:after="12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предварительный выбор возможных к применению типов покрытий, освещения, озеленение и т.д.;</w:t>
      </w:r>
    </w:p>
    <w:p w14:paraId="23000000">
      <w:pPr>
        <w:spacing w:after="12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уточнение размещения на дворовой территории элементов благоустройства, исходя из требований функциональных зон (ограждения, урны, скамьи, игровое и спортивное оборудование, опоры дворового освещения, озеленение, и т.д.);</w:t>
      </w:r>
    </w:p>
    <w:p w14:paraId="24000000">
      <w:pPr>
        <w:spacing w:after="12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уточнение размеров и площадей функциональных зон, видов покрытий;</w:t>
      </w:r>
    </w:p>
    <w:p w14:paraId="25000000">
      <w:pPr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подготовка графического материала.</w:t>
      </w:r>
    </w:p>
    <w:p w14:paraId="26000000">
      <w:pPr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2.5</w:t>
      </w:r>
      <w:r>
        <w:rPr>
          <w:rFonts w:ascii="XO Thames" w:hAnsi="XO Thames"/>
          <w:sz w:val="28"/>
        </w:rPr>
        <w:t xml:space="preserve">. </w:t>
      </w:r>
      <w:r>
        <w:rPr>
          <w:rFonts w:ascii="XO Thames" w:hAnsi="XO Thames"/>
          <w:sz w:val="28"/>
        </w:rPr>
        <w:t>Расчет стоимости работ выполняется в виде сметной документации исходя из сводной ведомости объемов работ.</w:t>
      </w:r>
    </w:p>
    <w:p w14:paraId="27000000">
      <w:pPr>
        <w:pStyle w:val="Style_5"/>
        <w:ind/>
        <w:jc w:val="center"/>
        <w:rPr>
          <w:rFonts w:ascii="XO Thames" w:hAnsi="XO Thames"/>
          <w:sz w:val="28"/>
        </w:rPr>
      </w:pPr>
    </w:p>
    <w:p w14:paraId="28000000">
      <w:pPr>
        <w:pStyle w:val="Style_5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 Обсуждение, согласование и утверждение дизайн-проекта</w:t>
      </w:r>
    </w:p>
    <w:p w14:paraId="29000000">
      <w:pPr>
        <w:pStyle w:val="Style_5"/>
        <w:ind/>
        <w:jc w:val="center"/>
        <w:rPr>
          <w:rFonts w:ascii="XO Thames" w:hAnsi="XO Thames"/>
          <w:sz w:val="28"/>
        </w:rPr>
      </w:pPr>
    </w:p>
    <w:p w14:paraId="2A000000">
      <w:pPr>
        <w:spacing w:after="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3.1. </w:t>
      </w:r>
      <w:r>
        <w:rPr>
          <w:rFonts w:ascii="XO Thames" w:hAnsi="XO Thames"/>
          <w:sz w:val="28"/>
        </w:rPr>
        <w:t xml:space="preserve">В целях обсуждения, согласования и утверждения дизайн-проекта благоустройства дворовой территории многоквартирного дома, отдел по строительству, транспорту, связи и </w:t>
      </w:r>
      <w:r>
        <w:rPr>
          <w:rFonts w:ascii="XO Thames" w:hAnsi="XO Thames"/>
          <w:sz w:val="28"/>
        </w:rPr>
        <w:t>жилищно-коммунальному хозяйству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программы (далее –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представитель заинтересованных лиц), о готовности дизайн-проекта в течение 1 рабочего дня со дня изготовления дизайн-проекта.</w:t>
      </w:r>
    </w:p>
    <w:p w14:paraId="2B000000">
      <w:pPr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3.2. </w:t>
      </w:r>
      <w:r>
        <w:rPr>
          <w:rFonts w:ascii="XO Thames" w:hAnsi="XO Thames"/>
          <w:sz w:val="28"/>
        </w:rPr>
        <w:t>Представитель заинтересованных лиц обеспечивает обсуждение, согласование дизайн-проекта благоустройства дворовой территории многоквартирного дома, для дальнейшего его утверждения в срок, не превышающий 15 рабочих дней.</w:t>
      </w:r>
    </w:p>
    <w:p w14:paraId="2C000000">
      <w:pPr>
        <w:spacing w:after="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3.3. </w:t>
      </w:r>
      <w:r>
        <w:rPr>
          <w:rFonts w:ascii="XO Thames" w:hAnsi="XO Thames"/>
          <w:sz w:val="28"/>
        </w:rPr>
        <w:t xml:space="preserve">Утверждение дизайн-проекта благоустройства дворовой территории многоквартирного дома осуществляется отделом по строительству, транспорту, связи и </w:t>
      </w:r>
      <w:r>
        <w:rPr>
          <w:rFonts w:ascii="XO Thames" w:hAnsi="XO Thames"/>
          <w:sz w:val="28"/>
        </w:rPr>
        <w:t xml:space="preserve">жилищно-коммунальному хозяйству </w:t>
      </w:r>
      <w:r>
        <w:rPr>
          <w:rFonts w:ascii="XO Thames" w:hAnsi="XO Thames"/>
          <w:sz w:val="28"/>
        </w:rPr>
        <w:t>в течение двух рабочих дней со дня согласования дизайн-проекта дворовой территории многоквартирного дома представителем заинтересованных лиц.</w:t>
      </w:r>
    </w:p>
    <w:p w14:paraId="2D000000">
      <w:pPr>
        <w:spacing w:after="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3.4. </w:t>
      </w:r>
      <w:r>
        <w:rPr>
          <w:rFonts w:ascii="XO Thames" w:hAnsi="XO Thames"/>
          <w:sz w:val="28"/>
        </w:rPr>
        <w:t>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14:paraId="2E000000">
      <w:pPr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3.5</w:t>
      </w:r>
      <w:r>
        <w:rPr>
          <w:rFonts w:ascii="XO Thames" w:hAnsi="XO Thames"/>
          <w:sz w:val="28"/>
        </w:rPr>
        <w:t xml:space="preserve">. </w:t>
      </w:r>
      <w:r>
        <w:rPr>
          <w:rFonts w:ascii="XO Thames" w:hAnsi="XO Thames"/>
          <w:sz w:val="28"/>
        </w:rPr>
        <w:t xml:space="preserve">Отдел по строительству, транспорту, связи и </w:t>
      </w:r>
      <w:r>
        <w:rPr>
          <w:rFonts w:ascii="XO Thames" w:hAnsi="XO Thames"/>
          <w:sz w:val="28"/>
        </w:rPr>
        <w:t>жилищно-коммунальному хозяйству</w:t>
      </w:r>
      <w:r>
        <w:rPr>
          <w:rFonts w:ascii="XO Thames" w:hAnsi="XO Thames"/>
          <w:sz w:val="28"/>
        </w:rPr>
        <w:t xml:space="preserve"> в течение 15 (пятнадцати) рабочих дней после утверждения дизайн-проекта определяет сметную стоимость работ по благоустройству дворовых территории.</w:t>
      </w:r>
    </w:p>
    <w:sectPr>
      <w:headerReference r:id="rId3" w:type="default"/>
      <w:headerReference r:id="rId5" w:type="first"/>
      <w:headerReference r:id="rId1" w:type="even"/>
      <w:footerReference r:id="rId4" w:type="default"/>
      <w:footerReference r:id="rId6" w:type="first"/>
      <w:footerReference r:id="rId2" w:type="even"/>
      <w:pgSz w:h="16838" w:orient="portrait" w:w="11906"/>
      <w:pgMar w:bottom="1134" w:footer="708" w:gutter="0" w:header="708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3"/>
      <w:numFmt w:val="decimal"/>
      <w:lvlText w:val="%1.%2."/>
      <w:lvlJc w:val="left"/>
      <w:pPr>
        <w:ind w:hanging="432" w:left="1141"/>
      </w:pPr>
      <w:rPr>
        <w:sz w:val="28"/>
      </w:rPr>
    </w:lvl>
    <w:lvl w:ilvl="2">
      <w:start w:val="1"/>
      <w:numFmt w:val="decimal"/>
      <w:lvlText w:val="%1.%2.%3."/>
      <w:lvlJc w:val="left"/>
      <w:pPr>
        <w:ind w:hanging="720" w:left="1778"/>
      </w:pPr>
      <w:rPr>
        <w:sz w:val="28"/>
      </w:rPr>
    </w:lvl>
    <w:lvl w:ilvl="3">
      <w:start w:val="1"/>
      <w:numFmt w:val="decimal"/>
      <w:lvlText w:val="%1.%2.%3.%4."/>
      <w:lvlJc w:val="left"/>
      <w:pPr>
        <w:ind w:hanging="720" w:left="2127"/>
      </w:pPr>
      <w:rPr>
        <w:sz w:val="28"/>
      </w:rPr>
    </w:lvl>
    <w:lvl w:ilvl="4">
      <w:start w:val="1"/>
      <w:numFmt w:val="decimal"/>
      <w:lvlText w:val="%1.%2.%3.%4.%5."/>
      <w:lvlJc w:val="left"/>
      <w:pPr>
        <w:ind w:hanging="1080" w:left="2836"/>
      </w:pPr>
      <w:rPr>
        <w:sz w:val="28"/>
      </w:rPr>
    </w:lvl>
    <w:lvl w:ilvl="5">
      <w:start w:val="1"/>
      <w:numFmt w:val="decimal"/>
      <w:lvlText w:val="%1.%2.%3.%4.%5.%6."/>
      <w:lvlJc w:val="left"/>
      <w:pPr>
        <w:ind w:hanging="1080" w:left="3185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hanging="1440" w:left="3894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hanging="1440" w:left="4243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hanging="1800" w:left="4952"/>
      </w:pPr>
      <w:rPr>
        <w:sz w:val="28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4" w:type="paragraph">
    <w:name w:val="Normal (Web)"/>
    <w:basedOn w:val="Style_6"/>
    <w:link w:val="Style_4_ch"/>
    <w:pPr>
      <w:spacing w:after="160" w:line="240" w:lineRule="auto"/>
      <w:ind/>
    </w:pPr>
    <w:rPr>
      <w:rFonts w:ascii="Times New Roman" w:hAnsi="Times New Roman"/>
      <w:sz w:val="24"/>
    </w:rPr>
  </w:style>
  <w:style w:styleId="Style_4_ch" w:type="character">
    <w:name w:val="Normal (Web)"/>
    <w:basedOn w:val="Style_6_ch"/>
    <w:link w:val="Style_4"/>
    <w:rPr>
      <w:rFonts w:ascii="Times New Roman" w:hAnsi="Times New Roman"/>
      <w:sz w:val="24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3" w:type="paragraph">
    <w:name w:val="Body Text"/>
    <w:basedOn w:val="Style_6"/>
    <w:link w:val="Style_3_ch"/>
    <w:pPr>
      <w:spacing w:after="120"/>
      <w:ind/>
    </w:pPr>
  </w:style>
  <w:style w:styleId="Style_3_ch" w:type="character">
    <w:name w:val="Body Text"/>
    <w:basedOn w:val="Style_6_ch"/>
    <w:link w:val="Style_3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Balloon Text"/>
    <w:basedOn w:val="Style_6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6_ch"/>
    <w:link w:val="Style_13"/>
    <w:rPr>
      <w:rFonts w:ascii="Tahoma" w:hAnsi="Tahoma"/>
      <w:sz w:val="1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3"/>
    <w:next w:val="Style_6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5" w:type="paragraph">
    <w:name w:val="No Spacing1"/>
    <w:link w:val="Style_5_ch"/>
    <w:pPr>
      <w:spacing w:after="0" w:line="240" w:lineRule="auto"/>
      <w:ind/>
    </w:pPr>
    <w:rPr>
      <w:rFonts w:ascii="Calibri" w:hAnsi="Calibri"/>
    </w:rPr>
  </w:style>
  <w:style w:styleId="Style_5_ch" w:type="character">
    <w:name w:val="No Spacing1"/>
    <w:link w:val="Style_5"/>
    <w:rPr>
      <w:rFonts w:ascii="Calibri" w:hAnsi="Calibri"/>
    </w:rPr>
  </w:style>
  <w:style w:styleId="Style_16" w:type="paragraph">
    <w:name w:val="heading 5"/>
    <w:next w:val="Style_6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6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6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6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6_ch"/>
    <w:link w:val="Style_2"/>
  </w:style>
  <w:style w:styleId="Style_23" w:type="paragraph">
    <w:name w:val="toc 8"/>
    <w:next w:val="Style_6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6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6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6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6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6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2025-02-26T07:22:45Z</dcterms:modified>
</cp:coreProperties>
</file>